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spacing w:after="0" w:line="240" w:lineRule="auto"/>
        <w:jc w:val="center"/>
      </w:pPr>
      <w:r>
        <w:rPr>
          <w:rFonts w:ascii="Times New Roman" w:hAnsi="Times New Roman" w:hint="default"/>
          <w:b w:val="1"/>
          <w:bCs w:val="1"/>
          <w:sz w:val="36"/>
          <w:szCs w:val="36"/>
          <w:u w:val="single"/>
          <w:rtl w:val="0"/>
          <w:lang w:val="ru-RU"/>
        </w:rPr>
        <w:t xml:space="preserve">БЛАГОТВОРИТЕЛЬНЫЙ ФОНД СОЦИАЛЬНОЙ ПОДДЕРЖКИ И РАЗВИТИЯ </w:t>
      </w:r>
      <w:r>
        <w:rPr>
          <w:rFonts w:ascii="Times New Roman" w:hAnsi="Times New Roman"/>
          <w:b w:val="1"/>
          <w:bCs w:val="1"/>
          <w:sz w:val="36"/>
          <w:szCs w:val="36"/>
          <w:u w:val="single"/>
          <w:rtl w:val="0"/>
          <w:lang w:val="ru-RU"/>
        </w:rPr>
        <w:t>"</w:t>
      </w:r>
      <w:r>
        <w:rPr>
          <w:rFonts w:ascii="Times New Roman" w:hAnsi="Times New Roman" w:hint="default"/>
          <w:b w:val="1"/>
          <w:bCs w:val="1"/>
          <w:sz w:val="36"/>
          <w:szCs w:val="36"/>
          <w:u w:val="single"/>
          <w:rtl w:val="0"/>
          <w:lang w:val="ru-RU"/>
        </w:rPr>
        <w:t>ЯСНОЕ ДЕЛО</w:t>
      </w:r>
      <w:r>
        <w:rPr>
          <w:rFonts w:ascii="Times New Roman" w:hAnsi="Times New Roman"/>
          <w:b w:val="1"/>
          <w:bCs w:val="1"/>
          <w:sz w:val="36"/>
          <w:szCs w:val="36"/>
          <w:u w:val="single"/>
          <w:rtl w:val="0"/>
          <w:lang w:val="ru-RU"/>
        </w:rPr>
        <w:t>"</w:t>
      </w:r>
    </w:p>
    <w:p>
      <w:pPr>
        <w:pStyle w:val="Обычный"/>
        <w:spacing w:after="0" w:line="240" w:lineRule="auto"/>
        <w:rPr>
          <w:rFonts w:ascii="Times New Roman" w:cs="Times New Roman" w:hAnsi="Times New Roman" w:eastAsia="Times New Roman"/>
          <w:sz w:val="28"/>
          <w:szCs w:val="28"/>
        </w:rPr>
      </w:pPr>
    </w:p>
    <w:tbl>
      <w:tblPr>
        <w:tblW w:w="9925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261"/>
        <w:gridCol w:w="6664"/>
      </w:tblGrid>
      <w:tr>
        <w:tblPrEx>
          <w:shd w:val="clear" w:color="auto" w:fill="ced7e7"/>
        </w:tblPrEx>
        <w:trPr>
          <w:trHeight w:val="63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Наименование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БЛАГОТВОРИТЕЛЬНЫЙ ФОНД СОЦИАЛЬНОЙ ПОДДЕРЖКИ И РАЗВИТИЯ 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"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ЯСНОЕ ДЕЛО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" </w:t>
            </w:r>
          </w:p>
        </w:tc>
      </w:tr>
      <w:tr>
        <w:tblPrEx>
          <w:shd w:val="clear" w:color="auto" w:fill="ced7e7"/>
        </w:tblPrEx>
        <w:trPr>
          <w:trHeight w:val="374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Юридическая форма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Некоммерческая организация</w:t>
            </w:r>
          </w:p>
        </w:tc>
      </w:tr>
      <w:tr>
        <w:tblPrEx>
          <w:shd w:val="clear" w:color="auto" w:fill="ced7e7"/>
        </w:tblPrEx>
        <w:trPr>
          <w:trHeight w:val="95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Юридический адрес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119270,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.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МОСКВА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ВН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.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ТЕР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.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МУНИЦИПАЛЬНЫЙ ОКРУГ ХАМОВНИКИ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НАБ ЛУЖНЕЦКАЯ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Д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. 10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СТР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3,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ЭТАЖ 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1, 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КОМ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. 21 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ИНН</w:t>
            </w: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/</w:t>
            </w: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КПП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9704241714 / 771001001 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Банк 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АО «Тинькофф Банк» 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Расчетный счет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40703810400000740172 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Корреспондентский счет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30101810145250000974 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БИК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044525974 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ОГРН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 xml:space="preserve">1247700342075 </w:t>
            </w:r>
          </w:p>
        </w:tc>
      </w:tr>
      <w:tr>
        <w:tblPrEx>
          <w:shd w:val="clear" w:color="auto" w:fill="ced7e7"/>
        </w:tblPrEx>
        <w:trPr>
          <w:trHeight w:val="318" w:hRule="atLeast"/>
        </w:trPr>
        <w:tc>
          <w:tcPr>
            <w:tcW w:type="dxa" w:w="32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 w:hint="default"/>
                <w:sz w:val="28"/>
                <w:szCs w:val="28"/>
                <w:shd w:val="nil" w:color="auto" w:fill="auto"/>
                <w:rtl w:val="0"/>
                <w:lang w:val="ru-RU"/>
              </w:rPr>
              <w:t>Телефон</w:t>
            </w:r>
          </w:p>
        </w:tc>
        <w:tc>
          <w:tcPr>
            <w:tcW w:type="dxa" w:w="666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spacing w:after="0" w:line="240" w:lineRule="auto"/>
            </w:pPr>
            <w:r>
              <w:rPr>
                <w:rFonts w:ascii="Times New Roman" w:hAnsi="Times New Roman"/>
                <w:sz w:val="28"/>
                <w:szCs w:val="28"/>
                <w:shd w:val="nil" w:color="auto" w:fill="auto"/>
                <w:rtl w:val="0"/>
                <w:lang w:val="ru-RU"/>
              </w:rPr>
              <w:t>+7 925 030 97 14</w:t>
            </w:r>
          </w:p>
        </w:tc>
      </w:tr>
    </w:tbl>
    <w:p>
      <w:pPr>
        <w:pStyle w:val="Обычный"/>
        <w:widowControl w:val="0"/>
        <w:spacing w:after="0" w:line="240" w:lineRule="auto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бычный"/>
        <w:spacing w:after="0" w:line="240" w:lineRule="auto"/>
        <w:rPr>
          <w:rFonts w:ascii="Times New Roman" w:cs="Times New Roman" w:hAnsi="Times New Roman" w:eastAsia="Times New Roman"/>
          <w:sz w:val="20"/>
          <w:szCs w:val="20"/>
        </w:rPr>
      </w:pPr>
    </w:p>
    <w:p>
      <w:pPr>
        <w:pStyle w:val="Обычный"/>
        <w:spacing w:after="0" w:line="240" w:lineRule="auto"/>
        <w:rPr>
          <w:rFonts w:ascii="Times New Roman" w:cs="Times New Roman" w:hAnsi="Times New Roman" w:eastAsia="Times New Roman"/>
          <w:sz w:val="28"/>
          <w:szCs w:val="28"/>
        </w:rPr>
      </w:pPr>
    </w:p>
    <w:p>
      <w:pPr>
        <w:pStyle w:val="Обычный"/>
        <w:spacing w:after="0" w:line="240" w:lineRule="auto"/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Директор фонда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действующий на основании Устава Кульпетова Анастасия Дмитриевна тел</w:t>
      </w:r>
      <w:r>
        <w:rPr>
          <w:rFonts w:ascii="Times New Roman" w:hAnsi="Times New Roman"/>
          <w:sz w:val="28"/>
          <w:szCs w:val="28"/>
          <w:rtl w:val="0"/>
          <w:lang w:val="ru-RU"/>
        </w:rPr>
        <w:t>: +7 925 030 97 14.</w:t>
      </w:r>
    </w:p>
    <w:p>
      <w:pPr>
        <w:pStyle w:val="Обычный"/>
        <w:spacing w:after="0" w:line="240" w:lineRule="auto"/>
      </w:pPr>
      <w:r>
        <w:rPr>
          <w:rFonts w:ascii="Times New Roman" w:hAnsi="Times New Roman" w:hint="default"/>
          <w:sz w:val="28"/>
          <w:szCs w:val="28"/>
          <w:rtl w:val="0"/>
          <w:lang w:val="ru-RU"/>
        </w:rPr>
        <w:t>Эл</w:t>
      </w:r>
      <w:r>
        <w:rPr>
          <w:rFonts w:ascii="Times New Roman" w:hAnsi="Times New Roman"/>
          <w:sz w:val="28"/>
          <w:szCs w:val="28"/>
          <w:rtl w:val="0"/>
          <w:lang w:val="ru-RU"/>
        </w:rPr>
        <w:t>.</w:t>
      </w:r>
      <w:r>
        <w:rPr>
          <w:rFonts w:ascii="Times New Roman" w:hAnsi="Times New Roman" w:hint="default"/>
          <w:sz w:val="28"/>
          <w:szCs w:val="28"/>
          <w:rtl w:val="0"/>
          <w:lang w:val="ru-RU"/>
        </w:rPr>
        <w:t>почта</w:t>
      </w:r>
      <w:r>
        <w:rPr>
          <w:rFonts w:ascii="Times New Roman" w:hAnsi="Times New Roman"/>
          <w:sz w:val="28"/>
          <w:szCs w:val="28"/>
          <w:rtl w:val="0"/>
          <w:lang w:val="ru-RU"/>
        </w:rPr>
        <w:t xml:space="preserve">:  </w:t>
      </w:r>
      <w:r>
        <w:rPr>
          <w:rStyle w:val="Hyperlink.0"/>
          <w:rFonts w:ascii="Times New Roman" w:cs="Times New Roman" w:hAnsi="Times New Roman" w:eastAsia="Times New Roman"/>
          <w:outline w:val="0"/>
          <w:color w:val="1a1a1a"/>
          <w:sz w:val="28"/>
          <w:szCs w:val="28"/>
          <w:u w:val="single" w:color="1a1a1a"/>
          <w:lang w:val="en-US"/>
          <w14:textFill>
            <w14:solidFill>
              <w14:srgbClr w14:val="1A1A1A"/>
            </w14:solidFill>
          </w14:textFill>
        </w:rPr>
        <w:fldChar w:fldCharType="begin" w:fldLock="0"/>
      </w:r>
      <w:r>
        <w:rPr>
          <w:rStyle w:val="Hyperlink.0"/>
          <w:rFonts w:ascii="Times New Roman" w:cs="Times New Roman" w:hAnsi="Times New Roman" w:eastAsia="Times New Roman"/>
          <w:outline w:val="0"/>
          <w:color w:val="1a1a1a"/>
          <w:sz w:val="28"/>
          <w:szCs w:val="28"/>
          <w:u w:val="single" w:color="1a1a1a"/>
          <w:lang w:val="en-US"/>
          <w14:textFill>
            <w14:solidFill>
              <w14:srgbClr w14:val="1A1A1A"/>
            </w14:solidFill>
          </w14:textFill>
        </w:rPr>
        <w:instrText xml:space="preserve"> HYPERLINK "mailto:info@yasdelo.ru"</w:instrText>
      </w:r>
      <w:r>
        <w:rPr>
          <w:rStyle w:val="Hyperlink.0"/>
          <w:rFonts w:ascii="Times New Roman" w:cs="Times New Roman" w:hAnsi="Times New Roman" w:eastAsia="Times New Roman"/>
          <w:outline w:val="0"/>
          <w:color w:val="1a1a1a"/>
          <w:sz w:val="28"/>
          <w:szCs w:val="28"/>
          <w:u w:val="single" w:color="1a1a1a"/>
          <w:lang w:val="en-US"/>
          <w14:textFill>
            <w14:solidFill>
              <w14:srgbClr w14:val="1A1A1A"/>
            </w14:solidFill>
          </w14:textFill>
        </w:rPr>
        <w:fldChar w:fldCharType="separate" w:fldLock="0"/>
      </w:r>
      <w:r>
        <w:rPr>
          <w:rStyle w:val="Hyperlink.0"/>
          <w:rFonts w:ascii="Times New Roman" w:hAnsi="Times New Roman"/>
          <w:outline w:val="0"/>
          <w:color w:val="1a1a1a"/>
          <w:sz w:val="28"/>
          <w:szCs w:val="28"/>
          <w:u w:val="single" w:color="1a1a1a"/>
          <w:rtl w:val="0"/>
          <w:lang w:val="en-US"/>
          <w14:textFill>
            <w14:solidFill>
              <w14:srgbClr w14:val="1A1A1A"/>
            </w14:solidFill>
          </w14:textFill>
        </w:rPr>
        <w:t>info</w:t>
      </w:r>
      <w:r>
        <w:rPr>
          <w:rStyle w:val="Нет"/>
          <w:rFonts w:ascii="Times New Roman" w:hAnsi="Times New Roman"/>
          <w:outline w:val="0"/>
          <w:color w:val="1a1a1a"/>
          <w:sz w:val="28"/>
          <w:szCs w:val="28"/>
          <w:u w:val="single" w:color="1a1a1a"/>
          <w:rtl w:val="0"/>
          <w:lang w:val="ru-RU"/>
          <w14:textFill>
            <w14:solidFill>
              <w14:srgbClr w14:val="1A1A1A"/>
            </w14:solidFill>
          </w14:textFill>
        </w:rPr>
        <w:t>@</w:t>
      </w:r>
      <w:r>
        <w:rPr>
          <w:rStyle w:val="Hyperlink.0"/>
          <w:rFonts w:ascii="Times New Roman" w:hAnsi="Times New Roman"/>
          <w:outline w:val="0"/>
          <w:color w:val="1a1a1a"/>
          <w:sz w:val="28"/>
          <w:szCs w:val="28"/>
          <w:u w:val="single" w:color="1a1a1a"/>
          <w:rtl w:val="0"/>
          <w:lang w:val="en-US"/>
          <w14:textFill>
            <w14:solidFill>
              <w14:srgbClr w14:val="1A1A1A"/>
            </w14:solidFill>
          </w14:textFill>
        </w:rPr>
        <w:t>yasdelo</w:t>
      </w:r>
      <w:r>
        <w:rPr>
          <w:rStyle w:val="Нет"/>
          <w:rFonts w:ascii="Times New Roman" w:hAnsi="Times New Roman"/>
          <w:outline w:val="0"/>
          <w:color w:val="1a1a1a"/>
          <w:sz w:val="28"/>
          <w:szCs w:val="28"/>
          <w:u w:val="single" w:color="1a1a1a"/>
          <w:rtl w:val="0"/>
          <w:lang w:val="ru-RU"/>
          <w14:textFill>
            <w14:solidFill>
              <w14:srgbClr w14:val="1A1A1A"/>
            </w14:solidFill>
          </w14:textFill>
        </w:rPr>
        <w:t>.</w:t>
      </w:r>
      <w:r>
        <w:rPr>
          <w:rStyle w:val="Hyperlink.0"/>
          <w:rFonts w:ascii="Times New Roman" w:hAnsi="Times New Roman"/>
          <w:outline w:val="0"/>
          <w:color w:val="1a1a1a"/>
          <w:sz w:val="28"/>
          <w:szCs w:val="28"/>
          <w:u w:val="single" w:color="1a1a1a"/>
          <w:rtl w:val="0"/>
          <w:lang w:val="en-US"/>
          <w14:textFill>
            <w14:solidFill>
              <w14:srgbClr w14:val="1A1A1A"/>
            </w14:solidFill>
          </w14:textFill>
        </w:rPr>
        <w:t>ru</w:t>
      </w:r>
      <w:r>
        <w:rPr/>
        <w:fldChar w:fldCharType="end" w:fldLock="0"/>
      </w:r>
    </w:p>
    <w:p>
      <w:pPr>
        <w:pStyle w:val="Обычный"/>
        <w:spacing w:after="0" w:line="240" w:lineRule="auto"/>
      </w:pPr>
    </w:p>
    <w:p>
      <w:pPr>
        <w:pStyle w:val="Обычный"/>
        <w:spacing w:after="0" w:line="240" w:lineRule="auto"/>
        <w:jc w:val="both"/>
      </w:pP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 xml:space="preserve">БФ 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>"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>Ясное дело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 xml:space="preserve">" 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 xml:space="preserve">является правопреемником АНО 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>"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>Ясное дело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>" (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>ИНН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 xml:space="preserve">:7733185027) 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 xml:space="preserve">в связи с реорганизацией последнего в форме преобразования в БФ 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>"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>Ясное дело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 xml:space="preserve">". 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>В связи с этим все права и обязанности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 xml:space="preserve">, 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 xml:space="preserve">а также имущество АНО 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>"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>Ясное дело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 xml:space="preserve">" 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 xml:space="preserve">перешло к БФ 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>"</w:t>
      </w:r>
      <w:r>
        <w:rPr>
          <w:rStyle w:val="Нет"/>
          <w:rFonts w:ascii="Times New Roman" w:hAnsi="Times New Roman" w:hint="default"/>
          <w:sz w:val="28"/>
          <w:szCs w:val="28"/>
          <w:rtl w:val="0"/>
          <w:lang w:val="ru-RU"/>
        </w:rPr>
        <w:t>Ясное дело</w:t>
      </w:r>
      <w:r>
        <w:rPr>
          <w:rStyle w:val="Нет"/>
          <w:rFonts w:ascii="Times New Roman" w:hAnsi="Times New Roman"/>
          <w:sz w:val="28"/>
          <w:szCs w:val="28"/>
          <w:rtl w:val="0"/>
          <w:lang w:val="ru-RU"/>
        </w:rPr>
        <w:t>"</w:t>
      </w:r>
      <w:r>
        <w:rPr>
          <w:rStyle w:val="Нет"/>
          <w:rFonts w:ascii="Times New Roman" w:hAnsi="Times New Roman"/>
          <w:outline w:val="0"/>
          <w:color w:val="1a1a1a"/>
          <w:sz w:val="28"/>
          <w:szCs w:val="28"/>
          <w:u w:color="1a1a1a"/>
          <w:rtl w:val="0"/>
          <w:lang w:val="ru-RU"/>
          <w14:textFill>
            <w14:solidFill>
              <w14:srgbClr w14:val="1A1A1A"/>
            </w14:solidFill>
          </w14:textFill>
        </w:rPr>
        <w:t>.</w:t>
      </w:r>
    </w:p>
    <w:p>
      <w:pPr>
        <w:pStyle w:val="Обычный"/>
        <w:spacing w:after="0"/>
      </w:pPr>
      <w:r>
        <w:rPr>
          <w:rStyle w:val="Нет"/>
        </w:rPr>
        <w:br w:type="textWrapping"/>
      </w:r>
    </w:p>
    <w:p>
      <w:pPr>
        <w:pStyle w:val="Обычный"/>
        <w:spacing w:after="0"/>
        <w:ind w:left="60" w:right="120" w:firstLine="0"/>
      </w:pPr>
      <w:r>
        <w:rPr>
          <w:rStyle w:val="Нет"/>
        </w:rPr>
        <w:br w:type="textWrapping"/>
      </w:r>
    </w:p>
    <w:sectPr>
      <w:headerReference w:type="default" r:id="rId4"/>
      <w:footerReference w:type="default" r:id="rId5"/>
      <w:pgSz w:w="11900" w:h="16840" w:orient="portrait"/>
      <w:pgMar w:top="2942" w:right="849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Верхний колонтитул"/>
      <w:tabs>
        <w:tab w:val="right" w:pos="9330"/>
        <w:tab w:val="clear" w:pos="9355"/>
      </w:tabs>
    </w:pPr>
    <w:r>
      <w:rPr>
        <w:lang w:val="en-US"/>
      </w:rP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6500" cy="10693400"/>
              <wp:effectExtent l="0" t="0" r="0" b="0"/>
              <wp:wrapNone/>
              <wp:docPr id="1073741826" name="officeArt object" descr="Прямоугольник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6500" cy="10693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595.0pt;height:84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>
      <w:rPr>
        <w:lang w:val="en-US"/>
      </w:rPr>
      <mc:AlternateContent>
        <mc:Choice Requires="wps">
          <w:drawing xmlns:a="http://schemas.openxmlformats.org/drawingml/2006/main"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-113030</wp:posOffset>
              </wp:positionH>
              <wp:positionV relativeFrom="page">
                <wp:posOffset>-43179</wp:posOffset>
              </wp:positionV>
              <wp:extent cx="7559041" cy="622300"/>
              <wp:effectExtent l="0" t="0" r="0" b="0"/>
              <wp:wrapNone/>
              <wp:docPr id="1073741827" name="officeArt object" descr="Прямоугольник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041" cy="6223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id="_x0000_s1027" style="visibility:visible;position:absolute;margin-left:-8.9pt;margin-top:-3.4pt;width:595.2pt;height:49.0pt;z-index:-251657216;mso-position-horizontal:absolute;mso-position-horizontal-relative:page;mso-position-vertical:absolute;mso-position-vertical-relative:page;mso-wrap-distance-left:12.0pt;mso-wrap-distance-top:12.0pt;mso-wrap-distance-right:12.0pt;mso-wrap-distance-bottom:12.0pt;">
              <v:fill color="#FFFFFF" opacity="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ect>
          </w:pict>
        </mc:Fallback>
      </mc:AlternateContent>
    </w:r>
    <w:r>
      <w:rPr>
        <w:lang w:val="en-US"/>
      </w:rPr>
      <w:drawing xmlns:a="http://schemas.openxmlformats.org/drawingml/2006/main">
        <wp:inline distT="0" distB="0" distL="0" distR="0">
          <wp:extent cx="3293671" cy="1210577"/>
          <wp:effectExtent l="0" t="0" r="0" b="0"/>
          <wp:docPr id="1073741825" name="officeArt object" descr="Frame 533072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Frame 5330720.png" descr="Frame 5330720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93671" cy="121057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Верхний колонтитул">
    <w:name w:val="Верхний колонтитул"/>
    <w:next w:val="Верхний колонтитул"/>
    <w:pPr>
      <w:keepNext w:val="0"/>
      <w:keepLines w:val="0"/>
      <w:pageBreakBefore w:val="0"/>
      <w:widowControl w:val="1"/>
      <w:shd w:val="clear" w:color="auto" w:fill="auto"/>
      <w:tabs>
        <w:tab w:val="center" w:pos="4677"/>
        <w:tab w:val="right" w:pos="9355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Fill>
        <w14:solidFill>
          <w14:srgbClr w14:val="000000"/>
        </w14:solidFill>
      </w14:textFill>
    </w:rPr>
  </w:style>
  <w:style w:type="character" w:styleId="Нет">
    <w:name w:val="Нет"/>
  </w:style>
  <w:style w:type="character" w:styleId="Hyperlink.0">
    <w:name w:val="Hyperlink.0"/>
    <w:basedOn w:val="Нет"/>
    <w:next w:val="Hyperlink.0"/>
    <w:rPr>
      <w:rFonts w:ascii="Times New Roman" w:cs="Times New Roman" w:hAnsi="Times New Roman" w:eastAsia="Times New Roman"/>
      <w:outline w:val="0"/>
      <w:color w:val="1a1a1a"/>
      <w:sz w:val="28"/>
      <w:szCs w:val="28"/>
      <w:u w:val="single" w:color="1a1a1a"/>
      <w:lang w:val="en-US"/>
      <w14:textFill>
        <w14:solidFill>
          <w14:srgbClr w14:val="1A1A1A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